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3F58" w14:textId="77777777" w:rsidR="00A20022" w:rsidRDefault="00A20022" w:rsidP="006F121F">
      <w:pPr>
        <w:tabs>
          <w:tab w:val="center" w:pos="4680"/>
        </w:tabs>
        <w:jc w:val="center"/>
        <w:rPr>
          <w:b/>
          <w:u w:val="single"/>
        </w:rPr>
      </w:pPr>
    </w:p>
    <w:p w14:paraId="6FBEF845" w14:textId="77777777" w:rsidR="00A20022" w:rsidRDefault="00A20022" w:rsidP="006F121F">
      <w:pPr>
        <w:tabs>
          <w:tab w:val="center" w:pos="4680"/>
        </w:tabs>
        <w:jc w:val="center"/>
        <w:rPr>
          <w:b/>
          <w:u w:val="single"/>
        </w:rPr>
      </w:pPr>
    </w:p>
    <w:p w14:paraId="2B48676E" w14:textId="6C22024B" w:rsidR="00BC46C3" w:rsidRPr="00B32AC5" w:rsidRDefault="00B90396" w:rsidP="006F121F">
      <w:pPr>
        <w:tabs>
          <w:tab w:val="center" w:pos="4680"/>
        </w:tabs>
        <w:jc w:val="center"/>
        <w:rPr>
          <w:b/>
          <w:bCs/>
          <w:u w:val="single"/>
        </w:rPr>
      </w:pPr>
      <w:r w:rsidRPr="00B32AC5">
        <w:rPr>
          <w:b/>
          <w:u w:val="single"/>
        </w:rPr>
        <w:t>GUIDANCE DOCUMENT</w:t>
      </w:r>
      <w:r w:rsidRPr="00B32AC5">
        <w:rPr>
          <w:u w:val="single"/>
        </w:rPr>
        <w:t xml:space="preserve"> </w:t>
      </w:r>
      <w:r w:rsidR="00BC46C3" w:rsidRPr="00B32AC5">
        <w:rPr>
          <w:b/>
          <w:bCs/>
          <w:u w:val="single"/>
        </w:rPr>
        <w:t xml:space="preserve">NO. </w:t>
      </w:r>
      <w:r w:rsidR="00012CEA" w:rsidRPr="00B32AC5">
        <w:rPr>
          <w:b/>
          <w:bCs/>
          <w:u w:val="single"/>
        </w:rPr>
        <w:t>14</w:t>
      </w:r>
      <w:r w:rsidR="004C62A5" w:rsidRPr="00B32AC5">
        <w:rPr>
          <w:b/>
          <w:bCs/>
          <w:u w:val="single"/>
        </w:rPr>
        <w:t>*</w:t>
      </w:r>
    </w:p>
    <w:p w14:paraId="13B4C1DA" w14:textId="77777777" w:rsidR="00BC46C3" w:rsidRPr="00B32AC5" w:rsidRDefault="00BC46C3" w:rsidP="00BC46C3">
      <w:pPr>
        <w:tabs>
          <w:tab w:val="center" w:pos="4680"/>
        </w:tabs>
      </w:pPr>
    </w:p>
    <w:p w14:paraId="187D8856" w14:textId="77777777" w:rsidR="00BC46C3" w:rsidRPr="00B32AC5" w:rsidRDefault="00101F38" w:rsidP="00BC46C3">
      <w:pPr>
        <w:tabs>
          <w:tab w:val="center" w:pos="4680"/>
        </w:tabs>
        <w:jc w:val="center"/>
        <w:rPr>
          <w:b/>
          <w:bCs/>
        </w:rPr>
      </w:pPr>
      <w:r w:rsidRPr="00B32AC5">
        <w:rPr>
          <w:b/>
          <w:bCs/>
        </w:rPr>
        <w:t xml:space="preserve">ELECTRIC ENERGY </w:t>
      </w:r>
      <w:r w:rsidR="008C6370" w:rsidRPr="00B32AC5">
        <w:rPr>
          <w:b/>
          <w:bCs/>
        </w:rPr>
        <w:t xml:space="preserve">STORAGE </w:t>
      </w:r>
      <w:r w:rsidRPr="00B32AC5">
        <w:rPr>
          <w:b/>
          <w:bCs/>
        </w:rPr>
        <w:t>RESOURCES</w:t>
      </w:r>
    </w:p>
    <w:p w14:paraId="22E4114D" w14:textId="77777777" w:rsidR="00BC46C3" w:rsidRDefault="00BC46C3" w:rsidP="003577FD">
      <w:pPr>
        <w:tabs>
          <w:tab w:val="center" w:pos="4680"/>
        </w:tabs>
        <w:rPr>
          <w:b/>
          <w:bCs/>
        </w:rPr>
      </w:pPr>
    </w:p>
    <w:p w14:paraId="5BE561B6" w14:textId="77777777" w:rsidR="003577FD" w:rsidRPr="00B32AC5" w:rsidRDefault="003577FD" w:rsidP="003577FD">
      <w:pPr>
        <w:tabs>
          <w:tab w:val="center" w:pos="4680"/>
        </w:tabs>
        <w:rPr>
          <w:b/>
          <w:bCs/>
        </w:rPr>
      </w:pPr>
    </w:p>
    <w:p w14:paraId="22788A72" w14:textId="77777777" w:rsidR="00BC46C3" w:rsidRPr="00B32AC5" w:rsidRDefault="00BC46C3" w:rsidP="00BC46C3">
      <w:pPr>
        <w:tabs>
          <w:tab w:val="left" w:pos="-1440"/>
        </w:tabs>
        <w:ind w:left="720" w:hanging="720"/>
        <w:rPr>
          <w:u w:val="single"/>
        </w:rPr>
      </w:pPr>
      <w:r w:rsidRPr="00B32AC5">
        <w:rPr>
          <w:u w:val="single"/>
        </w:rPr>
        <w:t xml:space="preserve">I.  </w:t>
      </w:r>
      <w:r w:rsidRPr="00B32AC5">
        <w:rPr>
          <w:u w:val="single"/>
        </w:rPr>
        <w:tab/>
        <w:t>Purpose</w:t>
      </w:r>
    </w:p>
    <w:p w14:paraId="0563F83B" w14:textId="77777777" w:rsidR="00BC46C3" w:rsidRPr="00B32AC5" w:rsidRDefault="00BC46C3" w:rsidP="00BC46C3">
      <w:pPr>
        <w:tabs>
          <w:tab w:val="left" w:pos="-1440"/>
        </w:tabs>
        <w:ind w:left="720" w:hanging="720"/>
        <w:rPr>
          <w:u w:val="single"/>
        </w:rPr>
      </w:pPr>
    </w:p>
    <w:p w14:paraId="6736A77A" w14:textId="40762974" w:rsidR="00BC46C3" w:rsidRPr="00B32AC5" w:rsidRDefault="00BC46C3" w:rsidP="00BC46C3">
      <w:pPr>
        <w:tabs>
          <w:tab w:val="left" w:pos="-1440"/>
        </w:tabs>
        <w:contextualSpacing/>
      </w:pPr>
      <w:r w:rsidRPr="00B32AC5">
        <w:t xml:space="preserve">This policy establishes the Nebraska Power Review Board’s (the Board) interpretation </w:t>
      </w:r>
      <w:r w:rsidR="00101F38" w:rsidRPr="00B32AC5">
        <w:t xml:space="preserve">regarding </w:t>
      </w:r>
      <w:r w:rsidR="00F35EAE">
        <w:t xml:space="preserve">what is required for </w:t>
      </w:r>
      <w:r w:rsidR="0022711C">
        <w:t xml:space="preserve">notices, </w:t>
      </w:r>
      <w:r w:rsidR="00101F38" w:rsidRPr="00B32AC5">
        <w:t xml:space="preserve">filing and </w:t>
      </w:r>
      <w:r w:rsidR="009A1967" w:rsidRPr="00B32AC5">
        <w:t xml:space="preserve">consideration </w:t>
      </w:r>
      <w:r w:rsidR="00101F38" w:rsidRPr="00B32AC5">
        <w:t>of applications for</w:t>
      </w:r>
      <w:r w:rsidR="0022711C">
        <w:t xml:space="preserve"> </w:t>
      </w:r>
      <w:r w:rsidR="0022711C" w:rsidRPr="0022711C">
        <w:t>energ</w:t>
      </w:r>
      <w:r w:rsidR="00976B61" w:rsidRPr="0022711C">
        <w:t>y storage</w:t>
      </w:r>
      <w:r w:rsidR="00976B61">
        <w:t xml:space="preserve"> </w:t>
      </w:r>
      <w:r w:rsidR="00101F38" w:rsidRPr="00B32AC5">
        <w:t>resources</w:t>
      </w:r>
      <w:r w:rsidR="00FB2E34">
        <w:t xml:space="preserve"> </w:t>
      </w:r>
      <w:r w:rsidR="00FB2E34" w:rsidRPr="00FB2E34">
        <w:t>(ESR), as defined in Neb. Rev. Stat. § 70-1001.01(9).</w:t>
      </w:r>
    </w:p>
    <w:p w14:paraId="36C3EE6E" w14:textId="77777777" w:rsidR="00BC46C3" w:rsidRDefault="00BC46C3" w:rsidP="00BC46C3">
      <w:pPr>
        <w:tabs>
          <w:tab w:val="left" w:pos="-1440"/>
        </w:tabs>
        <w:contextualSpacing/>
      </w:pPr>
    </w:p>
    <w:p w14:paraId="46C2535C" w14:textId="77777777" w:rsidR="0022711C" w:rsidRPr="000E4653" w:rsidRDefault="0022711C" w:rsidP="0022711C">
      <w:pPr>
        <w:rPr>
          <w:strike/>
          <w:u w:val="single"/>
        </w:rPr>
      </w:pPr>
      <w:r w:rsidRPr="0022711C">
        <w:rPr>
          <w:u w:val="single"/>
        </w:rPr>
        <w:t>II</w:t>
      </w:r>
      <w:proofErr w:type="gramStart"/>
      <w:r w:rsidRPr="0022711C">
        <w:rPr>
          <w:u w:val="single"/>
        </w:rPr>
        <w:t xml:space="preserve">. </w:t>
      </w:r>
      <w:r w:rsidRPr="0022711C">
        <w:rPr>
          <w:u w:val="single"/>
        </w:rPr>
        <w:tab/>
        <w:t>Associated</w:t>
      </w:r>
      <w:proofErr w:type="gramEnd"/>
      <w:r w:rsidRPr="0022711C">
        <w:rPr>
          <w:u w:val="single"/>
        </w:rPr>
        <w:t xml:space="preserve"> Energy Storage Resources</w:t>
      </w:r>
    </w:p>
    <w:p w14:paraId="2804D667" w14:textId="77777777" w:rsidR="0022711C" w:rsidRDefault="0022711C" w:rsidP="0022711C"/>
    <w:p w14:paraId="5CA1E90F" w14:textId="44046A8D" w:rsidR="0022711C" w:rsidRPr="0022711C" w:rsidRDefault="0022711C" w:rsidP="0022711C">
      <w:pPr>
        <w:pStyle w:val="ListParagraph"/>
        <w:numPr>
          <w:ilvl w:val="0"/>
          <w:numId w:val="34"/>
        </w:numPr>
        <w:ind w:left="1080"/>
      </w:pPr>
      <w:r w:rsidRPr="0022711C">
        <w:t>If a private electric supplier intends to include an Associated ESR</w:t>
      </w:r>
      <w:r w:rsidR="00FB2E34" w:rsidRPr="00FB2E34">
        <w:t xml:space="preserve">, as defined in Neb. Rev. Stat. § 70-1001.01(9), </w:t>
      </w:r>
      <w:r w:rsidRPr="0022711C">
        <w:t>with a Privately Developed Renewable Energy Generation Facility (PDREGF), the private electric supplier should notify the Board of the intention as part of the Notice provided to the Board for the PDREGF.</w:t>
      </w:r>
    </w:p>
    <w:p w14:paraId="5E610E5D" w14:textId="77777777" w:rsidR="00A20022" w:rsidRDefault="00A20022" w:rsidP="00BC46C3"/>
    <w:p w14:paraId="4BCD47C2" w14:textId="245E501C" w:rsidR="0022711C" w:rsidRPr="0022711C" w:rsidRDefault="0022711C" w:rsidP="0022711C">
      <w:pPr>
        <w:pStyle w:val="ListParagraph"/>
        <w:numPr>
          <w:ilvl w:val="0"/>
          <w:numId w:val="34"/>
        </w:numPr>
        <w:ind w:left="1080"/>
      </w:pPr>
      <w:r w:rsidRPr="0022711C">
        <w:t>If an Associated ESR is to be constructed or installed at a later time than the generation facility with which it is associated (i.e., after the commercial operation date of the generation facility), and the inclusion of the Associated ESR was not part of the original notice for the PDREGF, the owner of the PDREGF should provide written notice to the Board that the ESR is being constructed or installed.  The notice will inform the Board of the facility with which the ESR is associated and certify that the Associated ESR meets the requirements set out in Neb. Rev. Stat. § 70-1001.01(1)(a) to (c). The notice is not required to be in any specific format.  A letter or email is sufficient.</w:t>
      </w:r>
    </w:p>
    <w:p w14:paraId="36FA1EFB" w14:textId="77777777" w:rsidR="0022711C" w:rsidRDefault="0022711C" w:rsidP="00BC46C3"/>
    <w:p w14:paraId="3C081193" w14:textId="77777777" w:rsidR="00AC6A0C" w:rsidRDefault="0022711C" w:rsidP="00FB2E34">
      <w:pPr>
        <w:pStyle w:val="ListParagraph"/>
        <w:numPr>
          <w:ilvl w:val="0"/>
          <w:numId w:val="34"/>
        </w:numPr>
        <w:ind w:left="1080"/>
      </w:pPr>
      <w:r w:rsidRPr="0022711C">
        <w:t xml:space="preserve">If the PDREGF with which the ESR is associated is decommissioned or otherwise </w:t>
      </w:r>
      <w:r w:rsidR="00FB2E34">
        <w:t xml:space="preserve">permanently </w:t>
      </w:r>
      <w:r w:rsidRPr="0022711C">
        <w:t xml:space="preserve">removed from service, the ESR is no longer an “Associated ESR” under Neb. Rev. Stat. § 70-1001.01(1) and the </w:t>
      </w:r>
      <w:r w:rsidR="00FB2E34">
        <w:t xml:space="preserve">owner of the </w:t>
      </w:r>
      <w:r w:rsidRPr="0022711C">
        <w:t>ESR must file an application with the Board for authority to continue operating the ESR</w:t>
      </w:r>
      <w:r w:rsidR="00FB2E34">
        <w:t xml:space="preserve"> </w:t>
      </w:r>
      <w:r w:rsidR="00FB2E34" w:rsidRPr="00FB2E34">
        <w:t xml:space="preserve">within ninety (90) days of the date the PDREGF is </w:t>
      </w:r>
    </w:p>
    <w:p w14:paraId="3E93B3EA" w14:textId="77777777" w:rsidR="00AC6A0C" w:rsidRDefault="00AC6A0C" w:rsidP="00AC6A0C">
      <w:pPr>
        <w:pStyle w:val="ListParagraph"/>
        <w:ind w:left="1080"/>
      </w:pPr>
    </w:p>
    <w:p w14:paraId="5133B1BB" w14:textId="77777777" w:rsidR="00AC6A0C" w:rsidRDefault="00AC6A0C" w:rsidP="00AC6A0C">
      <w:pPr>
        <w:pStyle w:val="ListParagraph"/>
        <w:ind w:left="1080"/>
      </w:pPr>
    </w:p>
    <w:p w14:paraId="0341068A" w14:textId="77777777" w:rsidR="00AC6A0C" w:rsidRDefault="00AC6A0C" w:rsidP="00AC6A0C">
      <w:pPr>
        <w:pStyle w:val="ListParagraph"/>
        <w:ind w:left="1080"/>
      </w:pPr>
    </w:p>
    <w:p w14:paraId="162A4FAF" w14:textId="77777777" w:rsidR="00AC6A0C" w:rsidRDefault="00AC6A0C" w:rsidP="00AC6A0C">
      <w:pPr>
        <w:pStyle w:val="ListParagraph"/>
        <w:ind w:left="1080"/>
      </w:pPr>
    </w:p>
    <w:p w14:paraId="62E5B0C8" w14:textId="77777777" w:rsidR="00AC6A0C" w:rsidRPr="00B32AC5" w:rsidRDefault="00AC6A0C" w:rsidP="00AC6A0C">
      <w:pPr>
        <w:pStyle w:val="Footer"/>
        <w:rPr>
          <w:sz w:val="22"/>
          <w:szCs w:val="22"/>
        </w:rPr>
      </w:pPr>
      <w:r w:rsidRPr="00B32AC5">
        <w:rPr>
          <w:sz w:val="22"/>
          <w:szCs w:val="22"/>
        </w:rPr>
        <w:t>* This guidance document is advisory in nature but is binding on an agency until amended by such agency.  A guidance document does not include internal procedural documents that only affect the internal operations of the agency and does not impose additional requirements or penalties on regulated parties or include confidential information or rules and regulations made in accordance with the Administrative Procedure Act.  If you believe that this guidance document imposes additional requirements or penalties on regulated parties, you may request a review of the document.</w:t>
      </w:r>
    </w:p>
    <w:p w14:paraId="54F7385E" w14:textId="77777777" w:rsidR="00AC6A0C" w:rsidRDefault="00AC6A0C" w:rsidP="00AC6A0C">
      <w:pPr>
        <w:pStyle w:val="ListParagraph"/>
        <w:ind w:left="1080"/>
      </w:pPr>
    </w:p>
    <w:p w14:paraId="75E88694" w14:textId="77777777" w:rsidR="00AC6A0C" w:rsidRDefault="00AC6A0C" w:rsidP="00AC6A0C">
      <w:pPr>
        <w:pStyle w:val="ListParagraph"/>
        <w:ind w:left="1080"/>
      </w:pPr>
    </w:p>
    <w:p w14:paraId="68154B9D" w14:textId="77777777" w:rsidR="00AC6A0C" w:rsidRDefault="00AC6A0C" w:rsidP="00AC6A0C">
      <w:pPr>
        <w:pStyle w:val="ListParagraph"/>
        <w:ind w:left="1080"/>
      </w:pPr>
    </w:p>
    <w:p w14:paraId="486DAFFD" w14:textId="77777777" w:rsidR="00AC6A0C" w:rsidRDefault="00AC6A0C" w:rsidP="00AC6A0C">
      <w:pPr>
        <w:pStyle w:val="ListParagraph"/>
        <w:ind w:left="1080"/>
      </w:pPr>
    </w:p>
    <w:p w14:paraId="6F5C4FBB" w14:textId="77777777" w:rsidR="00AC6A0C" w:rsidRDefault="00AC6A0C" w:rsidP="00AC6A0C">
      <w:pPr>
        <w:pStyle w:val="ListParagraph"/>
        <w:ind w:left="1080"/>
      </w:pPr>
    </w:p>
    <w:p w14:paraId="67A83DD2" w14:textId="3A71D7FF" w:rsidR="00AC6A0C" w:rsidRDefault="00FB2E34" w:rsidP="00AC6A0C">
      <w:pPr>
        <w:pStyle w:val="ListParagraph"/>
        <w:ind w:left="1080"/>
      </w:pPr>
      <w:r w:rsidRPr="00FB2E34">
        <w:t>decommissioned or permanently removed from service</w:t>
      </w:r>
      <w:r w:rsidR="0022711C" w:rsidRPr="0022711C">
        <w:t xml:space="preserve">.  An application for </w:t>
      </w:r>
    </w:p>
    <w:p w14:paraId="6093F7F4" w14:textId="3351FE0E" w:rsidR="00FB2E34" w:rsidRPr="00FB2E34" w:rsidRDefault="0022711C" w:rsidP="00AC6A0C">
      <w:pPr>
        <w:ind w:left="1080"/>
      </w:pPr>
      <w:r w:rsidRPr="0022711C">
        <w:t>authority to continue operating the ESR follows the same procedure as set out for a new ESR in Neb. Rev. Stat. § 70-1012(5).</w:t>
      </w:r>
      <w:r w:rsidR="00FB2E34">
        <w:t xml:space="preserve">  </w:t>
      </w:r>
      <w:r w:rsidR="00FB2E34" w:rsidRPr="00FB2E34">
        <w:t>The ESR may continue to operate during the pendency of the application, provided the application is timely filed.  A temporary interruption of service or outage of the PDREGF shall not, by itself, constitute decommissioning or permanent removal from service for purposes of this subsection.</w:t>
      </w:r>
    </w:p>
    <w:p w14:paraId="3B94BFE0" w14:textId="279C28EE" w:rsidR="0022711C" w:rsidRPr="0022711C" w:rsidRDefault="0022711C" w:rsidP="00FB2E34">
      <w:pPr>
        <w:pStyle w:val="ListParagraph"/>
        <w:ind w:left="1080"/>
      </w:pPr>
    </w:p>
    <w:p w14:paraId="3C5D495A" w14:textId="77777777" w:rsidR="0005792A" w:rsidRPr="0022711C" w:rsidRDefault="0005792A" w:rsidP="0005792A">
      <w:pPr>
        <w:rPr>
          <w:u w:val="single"/>
        </w:rPr>
      </w:pPr>
      <w:r w:rsidRPr="0022711C">
        <w:rPr>
          <w:u w:val="single"/>
        </w:rPr>
        <w:t>III.</w:t>
      </w:r>
      <w:r w:rsidRPr="0022711C">
        <w:rPr>
          <w:u w:val="single"/>
        </w:rPr>
        <w:tab/>
        <w:t>ESR Constructed With A PURPA Qualifying Facility</w:t>
      </w:r>
    </w:p>
    <w:p w14:paraId="389BF20E" w14:textId="61D3E13A" w:rsidR="0005792A" w:rsidRPr="0005792A" w:rsidRDefault="0005792A" w:rsidP="00BC46C3">
      <w:pPr>
        <w:rPr>
          <w:highlight w:val="yellow"/>
          <w:u w:val="single"/>
        </w:rPr>
      </w:pPr>
    </w:p>
    <w:p w14:paraId="7AB12019" w14:textId="7884C6ED" w:rsidR="0005792A" w:rsidRDefault="0005792A" w:rsidP="00FB2E34">
      <w:pPr>
        <w:pStyle w:val="ListParagraph"/>
        <w:numPr>
          <w:ilvl w:val="0"/>
          <w:numId w:val="35"/>
        </w:numPr>
      </w:pPr>
      <w:r w:rsidRPr="0022711C">
        <w:t>If an ESR is installed or constructed as part of a qualifying facility under the Public Utility Regulatory Policies Act of 1978 (PURPA), the ESR will be considered part of the PURPA qualifying facility as long as the Federal Energy Regulatory Commission (FERC) determines the ESR is part of the qualifying facility (whether or not a new Form 556 filing is required), unless the owner of the facility requests that the ESR not be considered part of the PURPA qualifying facility and be treated as a separate facility.</w:t>
      </w:r>
    </w:p>
    <w:p w14:paraId="7A6E677B" w14:textId="2CC39D94" w:rsidR="00FB2E34" w:rsidRDefault="00FB2E34" w:rsidP="00FB2E34">
      <w:pPr>
        <w:pStyle w:val="ListParagraph"/>
        <w:ind w:left="1080"/>
      </w:pPr>
    </w:p>
    <w:p w14:paraId="0B189260" w14:textId="77777777" w:rsidR="00FB2E34" w:rsidRPr="00FB2E34" w:rsidRDefault="00FB2E34" w:rsidP="00FB2E34">
      <w:pPr>
        <w:pStyle w:val="ListParagraph"/>
        <w:numPr>
          <w:ilvl w:val="0"/>
          <w:numId w:val="35"/>
        </w:numPr>
      </w:pPr>
      <w:r w:rsidRPr="00FB2E34">
        <w:t xml:space="preserve">If the owner of an ESR has previously requested that the ESR not be considered part of the PURPA qualifying facility pursuant to subsection (a) above, the owner may subsequently request that the ESR be treated as part of the PURPA qualifying facility  by providing written notice to the Board, provided that FERC continues to recognize the ESR as part of the qualifying facility at the time of such request. </w:t>
      </w:r>
    </w:p>
    <w:p w14:paraId="0009602E" w14:textId="5D867A8E" w:rsidR="00FB2E34" w:rsidRPr="0022711C" w:rsidRDefault="00FB2E34" w:rsidP="00FB2E34"/>
    <w:p w14:paraId="75284666" w14:textId="2521AC65" w:rsidR="00AA1BE6" w:rsidRPr="00AA1BE6" w:rsidRDefault="00AA1BE6" w:rsidP="00AA1BE6">
      <w:pPr>
        <w:rPr>
          <w:u w:val="single"/>
        </w:rPr>
      </w:pPr>
      <w:r w:rsidRPr="0022711C">
        <w:rPr>
          <w:u w:val="single"/>
        </w:rPr>
        <w:t>IV</w:t>
      </w:r>
      <w:proofErr w:type="gramStart"/>
      <w:r w:rsidRPr="0022711C">
        <w:rPr>
          <w:u w:val="single"/>
        </w:rPr>
        <w:t xml:space="preserve">. </w:t>
      </w:r>
      <w:r w:rsidRPr="0022711C">
        <w:rPr>
          <w:u w:val="single"/>
        </w:rPr>
        <w:tab/>
        <w:t>Power</w:t>
      </w:r>
      <w:proofErr w:type="gramEnd"/>
      <w:r w:rsidRPr="0022711C">
        <w:rPr>
          <w:u w:val="single"/>
        </w:rPr>
        <w:t xml:space="preserve"> Review Board Approval Procedures for ESRs</w:t>
      </w:r>
    </w:p>
    <w:p w14:paraId="61465E06" w14:textId="77777777" w:rsidR="00AA1BE6" w:rsidRDefault="00AA1BE6" w:rsidP="00BC46C3"/>
    <w:p w14:paraId="22B99ACF" w14:textId="409AD6F5" w:rsidR="0010786F" w:rsidRPr="00B32AC5" w:rsidRDefault="00277937" w:rsidP="0010786F">
      <w:pPr>
        <w:pStyle w:val="ListParagraph"/>
        <w:numPr>
          <w:ilvl w:val="0"/>
          <w:numId w:val="28"/>
        </w:numPr>
        <w:ind w:left="1080"/>
      </w:pPr>
      <w:r w:rsidRPr="00B32AC5">
        <w:t>For purposes of filing an application with the Board</w:t>
      </w:r>
      <w:r w:rsidR="00AD1DA5" w:rsidRPr="00B32AC5">
        <w:t xml:space="preserve"> for approval of</w:t>
      </w:r>
    </w:p>
    <w:p w14:paraId="580982CC" w14:textId="0FF3F7C4" w:rsidR="00DD0806" w:rsidRPr="00AA1BE6" w:rsidRDefault="00277937" w:rsidP="0010786F">
      <w:pPr>
        <w:ind w:left="1080"/>
        <w:rPr>
          <w:strike/>
        </w:rPr>
      </w:pPr>
      <w:r w:rsidRPr="00B32AC5">
        <w:t xml:space="preserve">an </w:t>
      </w:r>
      <w:r w:rsidR="000F11D3" w:rsidRPr="00B32AC5">
        <w:t>ESR</w:t>
      </w:r>
      <w:r w:rsidRPr="00B32AC5">
        <w:t xml:space="preserve">, </w:t>
      </w:r>
      <w:r w:rsidR="00680300" w:rsidRPr="00B32AC5">
        <w:t xml:space="preserve">the person or entity wishing to construct or install the resource should use </w:t>
      </w:r>
      <w:r w:rsidR="00DD0806" w:rsidRPr="00B32AC5">
        <w:t>“</w:t>
      </w:r>
      <w:r w:rsidR="00680300" w:rsidRPr="00B32AC5">
        <w:t>Appendix C: Application for authority to construct or acquire an electric generation facility and/or related facilities</w:t>
      </w:r>
      <w:r w:rsidR="00DD0806" w:rsidRPr="00B32AC5">
        <w:t>”</w:t>
      </w:r>
      <w:r w:rsidR="00680300" w:rsidRPr="00B32AC5">
        <w:t xml:space="preserve">, as set out in the Board’s Rules of Practice and Procedure, Title 285, Nebraska Administrative Code, Chapter 2, page 8.  Appendix C is used </w:t>
      </w:r>
      <w:r w:rsidR="00DD0806" w:rsidRPr="00B32AC5">
        <w:t>for purposes of convenience</w:t>
      </w:r>
      <w:r w:rsidR="009C36CA" w:rsidRPr="00B32AC5">
        <w:t xml:space="preserve">, </w:t>
      </w:r>
      <w:r w:rsidR="00DD0806" w:rsidRPr="00B32AC5">
        <w:t>uniformity</w:t>
      </w:r>
      <w:r w:rsidR="009C36CA" w:rsidRPr="00B32AC5">
        <w:t>, and the type of information gathered on the form</w:t>
      </w:r>
      <w:r w:rsidR="00DD0806" w:rsidRPr="00B32AC5">
        <w:t>.</w:t>
      </w:r>
    </w:p>
    <w:p w14:paraId="7FEBA92B" w14:textId="77777777" w:rsidR="00DD0806" w:rsidRPr="00B32AC5" w:rsidRDefault="00DD0806" w:rsidP="00BC46C3"/>
    <w:p w14:paraId="0EC5C764" w14:textId="66C39011" w:rsidR="00DD0806" w:rsidRPr="00B32AC5" w:rsidRDefault="00DD0806" w:rsidP="00803826">
      <w:pPr>
        <w:pStyle w:val="ListParagraph"/>
        <w:numPr>
          <w:ilvl w:val="0"/>
          <w:numId w:val="28"/>
        </w:numPr>
        <w:ind w:left="1080"/>
      </w:pPr>
      <w:r w:rsidRPr="00B32AC5">
        <w:t xml:space="preserve">When completing the application, the applicant should indicate that the facility will be an </w:t>
      </w:r>
      <w:r w:rsidR="000F11D3" w:rsidRPr="00B32AC5">
        <w:t>ESR</w:t>
      </w:r>
      <w:r w:rsidRPr="00B32AC5">
        <w:t xml:space="preserve"> by </w:t>
      </w:r>
      <w:r w:rsidR="00737B00" w:rsidRPr="00B32AC5">
        <w:t>removing</w:t>
      </w:r>
      <w:r w:rsidRPr="00B32AC5">
        <w:t xml:space="preserve"> the word “generation” in the right side of the caption heading just above “Application No. PRB-</w:t>
      </w:r>
      <w:r w:rsidRPr="00B32AC5">
        <w:rPr>
          <w:u w:val="single"/>
        </w:rPr>
        <w:t>_____</w:t>
      </w:r>
      <w:r w:rsidRPr="00B32AC5">
        <w:t>”</w:t>
      </w:r>
      <w:r w:rsidR="000F11D3" w:rsidRPr="00B32AC5">
        <w:t xml:space="preserve"> and replacing it with “Energy Storage Resource”</w:t>
      </w:r>
      <w:r w:rsidRPr="00B32AC5">
        <w:t xml:space="preserve">. </w:t>
      </w:r>
      <w:r w:rsidR="000F11D3" w:rsidRPr="00B32AC5">
        <w:t xml:space="preserve"> </w:t>
      </w:r>
      <w:r w:rsidRPr="00B32AC5">
        <w:t xml:space="preserve">The applicant should also indicate the asset will be an energy storage resource in the answer </w:t>
      </w:r>
      <w:proofErr w:type="gramStart"/>
      <w:r w:rsidRPr="00B32AC5">
        <w:t>on line</w:t>
      </w:r>
      <w:proofErr w:type="gramEnd"/>
      <w:r w:rsidRPr="00B32AC5">
        <w:t xml:space="preserve"> (1)C</w:t>
      </w:r>
      <w:r w:rsidR="00753C98" w:rsidRPr="00B32AC5">
        <w:t>, asking for “Type of unit or alternate types (Nuclear, conventional, hydro)</w:t>
      </w:r>
      <w:r w:rsidR="00CB02EA" w:rsidRPr="00B32AC5">
        <w:t>”.</w:t>
      </w:r>
    </w:p>
    <w:p w14:paraId="547F090A" w14:textId="77777777" w:rsidR="00753862" w:rsidRPr="00B32AC5" w:rsidRDefault="00753862" w:rsidP="00BC46C3"/>
    <w:p w14:paraId="2F07CAFD" w14:textId="77777777" w:rsidR="00627E9A" w:rsidRDefault="00627E9A" w:rsidP="00F26BEB"/>
    <w:p w14:paraId="6C6D1A17" w14:textId="77777777" w:rsidR="00AC6A0C" w:rsidRDefault="00AC6A0C" w:rsidP="00F26BEB"/>
    <w:p w14:paraId="732587AA" w14:textId="77777777" w:rsidR="00AC6A0C" w:rsidRDefault="00AC6A0C" w:rsidP="00F26BEB"/>
    <w:p w14:paraId="022FDB1E" w14:textId="77777777" w:rsidR="00AC6A0C" w:rsidRDefault="00AC6A0C" w:rsidP="00F26BEB"/>
    <w:p w14:paraId="7052F9AC" w14:textId="77777777" w:rsidR="00AC6A0C" w:rsidRDefault="00AC6A0C" w:rsidP="00F26BEB"/>
    <w:p w14:paraId="3330B889" w14:textId="77777777" w:rsidR="0022711C" w:rsidRPr="00B32AC5" w:rsidRDefault="0022711C" w:rsidP="00F26BEB"/>
    <w:p w14:paraId="590315F1" w14:textId="77777777" w:rsidR="00F26BEB" w:rsidRPr="00B32AC5" w:rsidRDefault="00F26BEB" w:rsidP="00F26BEB"/>
    <w:p w14:paraId="666D9AB6" w14:textId="77777777" w:rsidR="001745F7" w:rsidRPr="00B32AC5" w:rsidRDefault="001745F7" w:rsidP="001745F7">
      <w:pPr>
        <w:pStyle w:val="NoSpacing"/>
        <w:jc w:val="right"/>
        <w:rPr>
          <w:rFonts w:ascii="Times New Roman" w:hAnsi="Times New Roman"/>
          <w:sz w:val="24"/>
          <w:szCs w:val="24"/>
          <w:u w:val="single"/>
        </w:rPr>
      </w:pP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p>
    <w:p w14:paraId="15D521FE" w14:textId="3F551DD3" w:rsidR="001745F7" w:rsidRPr="00B32AC5" w:rsidRDefault="001745F7" w:rsidP="001745F7">
      <w:pPr>
        <w:pStyle w:val="NoSpacing"/>
        <w:rPr>
          <w:sz w:val="20"/>
          <w:szCs w:val="20"/>
        </w:rPr>
      </w:pPr>
      <w:r w:rsidRPr="00B32AC5">
        <w:rPr>
          <w:rFonts w:ascii="Times New Roman" w:hAnsi="Times New Roman"/>
          <w:sz w:val="24"/>
          <w:szCs w:val="24"/>
        </w:rPr>
        <w:t xml:space="preserve">                                                                 </w:t>
      </w:r>
      <w:r w:rsidR="00975257">
        <w:rPr>
          <w:rFonts w:ascii="Times New Roman" w:hAnsi="Times New Roman"/>
          <w:sz w:val="24"/>
          <w:szCs w:val="24"/>
        </w:rPr>
        <w:tab/>
      </w:r>
      <w:r w:rsidRPr="00B32AC5">
        <w:rPr>
          <w:rFonts w:ascii="Times New Roman" w:hAnsi="Times New Roman"/>
          <w:sz w:val="24"/>
          <w:szCs w:val="24"/>
        </w:rPr>
        <w:t>Timothy J. Texel</w:t>
      </w:r>
    </w:p>
    <w:p w14:paraId="2C85DA00" w14:textId="3F66083C" w:rsidR="001745F7" w:rsidRPr="00B32AC5" w:rsidRDefault="001745F7" w:rsidP="001745F7">
      <w:pPr>
        <w:pStyle w:val="NoSpacing"/>
        <w:rPr>
          <w:rFonts w:ascii="Times New Roman" w:hAnsi="Times New Roman"/>
          <w:sz w:val="24"/>
          <w:szCs w:val="24"/>
        </w:rPr>
      </w:pPr>
      <w:r w:rsidRPr="00B32AC5">
        <w:rPr>
          <w:rFonts w:ascii="Times New Roman" w:hAnsi="Times New Roman"/>
          <w:sz w:val="24"/>
          <w:szCs w:val="24"/>
        </w:rPr>
        <w:t xml:space="preserve">                                                                  </w:t>
      </w:r>
      <w:r w:rsidRPr="00B32AC5">
        <w:rPr>
          <w:rFonts w:ascii="Times New Roman" w:hAnsi="Times New Roman"/>
          <w:sz w:val="24"/>
          <w:szCs w:val="24"/>
        </w:rPr>
        <w:tab/>
        <w:t>Executive Director and General Counsel</w:t>
      </w:r>
    </w:p>
    <w:p w14:paraId="26090BD7" w14:textId="77777777" w:rsidR="00F26BEB" w:rsidRPr="00B32AC5" w:rsidRDefault="00F26BEB" w:rsidP="001745F7">
      <w:pPr>
        <w:pStyle w:val="NoSpacing"/>
        <w:rPr>
          <w:rFonts w:ascii="Times New Roman" w:hAnsi="Times New Roman"/>
          <w:sz w:val="24"/>
          <w:szCs w:val="24"/>
        </w:rPr>
      </w:pPr>
    </w:p>
    <w:p w14:paraId="0EE92071" w14:textId="2C9F567F" w:rsidR="003577FD" w:rsidRDefault="003577FD" w:rsidP="003577FD">
      <w:pPr>
        <w:rPr>
          <w:sz w:val="22"/>
          <w:szCs w:val="22"/>
        </w:rPr>
      </w:pPr>
      <w:r>
        <w:rPr>
          <w:sz w:val="22"/>
          <w:szCs w:val="22"/>
        </w:rPr>
        <w:t>Amended at NPRB Board Meeting on 6/26/26</w:t>
      </w:r>
      <w:r w:rsidR="006B171E">
        <w:rPr>
          <w:sz w:val="22"/>
          <w:szCs w:val="22"/>
        </w:rPr>
        <w:t xml:space="preserve"> (effective date 7/18/26)</w:t>
      </w:r>
    </w:p>
    <w:p w14:paraId="6FED6F3E" w14:textId="77777777" w:rsidR="003577FD" w:rsidRDefault="003577FD" w:rsidP="003577FD">
      <w:pPr>
        <w:rPr>
          <w:sz w:val="22"/>
          <w:szCs w:val="22"/>
        </w:rPr>
      </w:pPr>
      <w:proofErr w:type="gramStart"/>
      <w:r w:rsidRPr="00A20022">
        <w:rPr>
          <w:sz w:val="22"/>
          <w:szCs w:val="22"/>
        </w:rPr>
        <w:t>Amended at</w:t>
      </w:r>
      <w:proofErr w:type="gramEnd"/>
      <w:r w:rsidRPr="00A20022">
        <w:rPr>
          <w:sz w:val="22"/>
          <w:szCs w:val="22"/>
        </w:rPr>
        <w:t xml:space="preserve"> NPRB Board Meeting on 6/20/25</w:t>
      </w:r>
    </w:p>
    <w:p w14:paraId="5FDA7A39" w14:textId="638BB3DB" w:rsidR="006C1E69" w:rsidRDefault="00004C7E" w:rsidP="00D41FD9">
      <w:pPr>
        <w:rPr>
          <w:sz w:val="22"/>
          <w:szCs w:val="22"/>
        </w:rPr>
      </w:pPr>
      <w:r w:rsidRPr="00B32AC5">
        <w:rPr>
          <w:sz w:val="22"/>
          <w:szCs w:val="22"/>
        </w:rPr>
        <w:t>Amended at NPRB Board Meeting on 4/18/25</w:t>
      </w:r>
    </w:p>
    <w:p w14:paraId="43895554" w14:textId="77777777" w:rsidR="003577FD" w:rsidRPr="00B32AC5" w:rsidRDefault="003577FD" w:rsidP="003577FD">
      <w:pPr>
        <w:rPr>
          <w:sz w:val="22"/>
          <w:szCs w:val="22"/>
        </w:rPr>
      </w:pPr>
      <w:r w:rsidRPr="00B32AC5">
        <w:rPr>
          <w:sz w:val="22"/>
          <w:szCs w:val="22"/>
        </w:rPr>
        <w:t>Amended at NPRB Board Meeting on 2/17/23</w:t>
      </w:r>
    </w:p>
    <w:p w14:paraId="4E0C1075" w14:textId="77777777" w:rsidR="003577FD" w:rsidRPr="00B32AC5" w:rsidRDefault="003577FD" w:rsidP="003577FD">
      <w:pPr>
        <w:rPr>
          <w:sz w:val="22"/>
          <w:szCs w:val="22"/>
        </w:rPr>
      </w:pPr>
      <w:r w:rsidRPr="00B32AC5">
        <w:rPr>
          <w:sz w:val="22"/>
          <w:szCs w:val="22"/>
        </w:rPr>
        <w:t>Approved at NPRB Board Meeting on 6/14/21</w:t>
      </w:r>
    </w:p>
    <w:p w14:paraId="285E8B20" w14:textId="77777777" w:rsidR="003577FD" w:rsidRDefault="003577FD" w:rsidP="00D41FD9">
      <w:pPr>
        <w:rPr>
          <w:sz w:val="22"/>
          <w:szCs w:val="22"/>
        </w:rPr>
      </w:pPr>
    </w:p>
    <w:sectPr w:rsidR="003577FD" w:rsidSect="00B920E3">
      <w:headerReference w:type="even" r:id="rId8"/>
      <w:headerReference w:type="default" r:id="rId9"/>
      <w:footerReference w:type="even" r:id="rId10"/>
      <w:footerReference w:type="default" r:id="rId11"/>
      <w:headerReference w:type="first" r:id="rId12"/>
      <w:footerReference w:type="first" r:id="rId13"/>
      <w:pgSz w:w="12240" w:h="15840" w:code="1"/>
      <w:pgMar w:top="907" w:right="1800" w:bottom="90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803E" w14:textId="77777777" w:rsidR="005A573B" w:rsidRDefault="005A573B">
      <w:r>
        <w:separator/>
      </w:r>
    </w:p>
  </w:endnote>
  <w:endnote w:type="continuationSeparator" w:id="0">
    <w:p w14:paraId="257CD62F" w14:textId="77777777" w:rsidR="005A573B" w:rsidRDefault="005A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1847" w14:textId="77777777" w:rsidR="00A10918" w:rsidRDefault="00A10918" w:rsidP="00E20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9E09A7" w14:textId="77777777" w:rsidR="00A10918" w:rsidRDefault="00A10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647441"/>
      <w:docPartObj>
        <w:docPartGallery w:val="Page Numbers (Bottom of Page)"/>
        <w:docPartUnique/>
      </w:docPartObj>
    </w:sdtPr>
    <w:sdtEndPr/>
    <w:sdtContent>
      <w:sdt>
        <w:sdtPr>
          <w:id w:val="1728636285"/>
          <w:docPartObj>
            <w:docPartGallery w:val="Page Numbers (Top of Page)"/>
            <w:docPartUnique/>
          </w:docPartObj>
        </w:sdtPr>
        <w:sdtEndPr/>
        <w:sdtContent>
          <w:p w14:paraId="5D406016" w14:textId="380CBED9" w:rsidR="006D47D1" w:rsidRDefault="006D47D1">
            <w:pPr>
              <w:pStyle w:val="Footer"/>
              <w:jc w:val="center"/>
            </w:pPr>
            <w:r>
              <w:t xml:space="preserve">Page </w:t>
            </w:r>
            <w:r w:rsidRPr="00EC60EF">
              <w:fldChar w:fldCharType="begin"/>
            </w:r>
            <w:r w:rsidRPr="00EC60EF">
              <w:instrText xml:space="preserve"> PAGE </w:instrText>
            </w:r>
            <w:r w:rsidRPr="00EC60EF">
              <w:fldChar w:fldCharType="separate"/>
            </w:r>
            <w:r w:rsidRPr="00EC60EF">
              <w:rPr>
                <w:noProof/>
              </w:rPr>
              <w:t>2</w:t>
            </w:r>
            <w:r w:rsidRPr="00EC60EF">
              <w:fldChar w:fldCharType="end"/>
            </w:r>
            <w:r w:rsidRPr="00EC60EF">
              <w:t xml:space="preserve"> of </w:t>
            </w:r>
            <w:fldSimple w:instr=" NUMPAGES  ">
              <w:r w:rsidRPr="00EC60EF">
                <w:rPr>
                  <w:noProof/>
                </w:rPr>
                <w:t>2</w:t>
              </w:r>
            </w:fldSimple>
          </w:p>
        </w:sdtContent>
      </w:sdt>
    </w:sdtContent>
  </w:sdt>
  <w:p w14:paraId="138FC7C3" w14:textId="77777777" w:rsidR="006D47D1" w:rsidRDefault="006D4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D061" w14:textId="77777777" w:rsidR="00B920E3" w:rsidRDefault="00B92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1B98" w14:textId="77777777" w:rsidR="005A573B" w:rsidRDefault="005A573B">
      <w:r>
        <w:separator/>
      </w:r>
    </w:p>
  </w:footnote>
  <w:footnote w:type="continuationSeparator" w:id="0">
    <w:p w14:paraId="7EA8AC50" w14:textId="77777777" w:rsidR="005A573B" w:rsidRDefault="005A5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22FD" w14:textId="77777777" w:rsidR="00B920E3" w:rsidRDefault="00B92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131"/>
      <w:docPartObj>
        <w:docPartGallery w:val="Watermarks"/>
        <w:docPartUnique/>
      </w:docPartObj>
    </w:sdtPr>
    <w:sdtEndPr/>
    <w:sdtContent>
      <w:p w14:paraId="4491333C" w14:textId="2949668F" w:rsidR="00B920E3" w:rsidRDefault="005A573B">
        <w:pPr>
          <w:pStyle w:val="Header"/>
        </w:pPr>
        <w:r>
          <w:rPr>
            <w:noProof/>
          </w:rPr>
          <w:pict w14:anchorId="5B187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E136" w14:textId="595FC114" w:rsidR="00B920E3" w:rsidRDefault="00B92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3"/>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5"/>
    <w:multiLevelType w:val="multilevel"/>
    <w:tmpl w:val="00000000"/>
    <w:name w:val="AutoList5"/>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262070E"/>
    <w:multiLevelType w:val="hybridMultilevel"/>
    <w:tmpl w:val="8AEE53FA"/>
    <w:lvl w:ilvl="0" w:tplc="7FFC66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01402E"/>
    <w:multiLevelType w:val="hybridMultilevel"/>
    <w:tmpl w:val="5D5E4922"/>
    <w:lvl w:ilvl="0" w:tplc="8196FC2A">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6FF1A0C"/>
    <w:multiLevelType w:val="hybridMultilevel"/>
    <w:tmpl w:val="D1FEB962"/>
    <w:lvl w:ilvl="0" w:tplc="1B783E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7186422"/>
    <w:multiLevelType w:val="hybridMultilevel"/>
    <w:tmpl w:val="3760C522"/>
    <w:lvl w:ilvl="0" w:tplc="65A84E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72E07"/>
    <w:multiLevelType w:val="hybridMultilevel"/>
    <w:tmpl w:val="BBD205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843EDD"/>
    <w:multiLevelType w:val="hybridMultilevel"/>
    <w:tmpl w:val="25AED690"/>
    <w:lvl w:ilvl="0" w:tplc="9DA2E0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E5E5976"/>
    <w:multiLevelType w:val="hybridMultilevel"/>
    <w:tmpl w:val="21FAC16A"/>
    <w:lvl w:ilvl="0" w:tplc="BE0EA5C4">
      <w:start w:val="1"/>
      <w:numFmt w:val="bullet"/>
      <w:lvlText w:val="٭"/>
      <w:lvlJc w:val="left"/>
      <w:pPr>
        <w:tabs>
          <w:tab w:val="num" w:pos="1152"/>
        </w:tabs>
        <w:ind w:left="1152"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8A1F06"/>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14506DBE"/>
    <w:multiLevelType w:val="hybridMultilevel"/>
    <w:tmpl w:val="D062C530"/>
    <w:lvl w:ilvl="0" w:tplc="BE0EA5C4">
      <w:start w:val="1"/>
      <w:numFmt w:val="bullet"/>
      <w:lvlText w:val="٭"/>
      <w:lvlJc w:val="left"/>
      <w:pPr>
        <w:tabs>
          <w:tab w:val="num" w:pos="1152"/>
        </w:tabs>
        <w:ind w:left="1152"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B3F7D"/>
    <w:multiLevelType w:val="hybridMultilevel"/>
    <w:tmpl w:val="250A3204"/>
    <w:lvl w:ilvl="0" w:tplc="C292E454">
      <w:start w:val="3"/>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1A7248A9"/>
    <w:multiLevelType w:val="hybridMultilevel"/>
    <w:tmpl w:val="99DAE702"/>
    <w:lvl w:ilvl="0" w:tplc="A060058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7102E"/>
    <w:multiLevelType w:val="hybridMultilevel"/>
    <w:tmpl w:val="137CC616"/>
    <w:lvl w:ilvl="0" w:tplc="15F25E4C">
      <w:start w:val="10"/>
      <w:numFmt w:val="decimal"/>
      <w:lvlText w:val="%1."/>
      <w:lvlJc w:val="left"/>
      <w:pPr>
        <w:tabs>
          <w:tab w:val="num" w:pos="1290"/>
        </w:tabs>
        <w:ind w:left="1290" w:hanging="5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61656B6"/>
    <w:multiLevelType w:val="hybridMultilevel"/>
    <w:tmpl w:val="84786390"/>
    <w:lvl w:ilvl="0" w:tplc="BD68F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E118D"/>
    <w:multiLevelType w:val="hybridMultilevel"/>
    <w:tmpl w:val="DA48A8B8"/>
    <w:lvl w:ilvl="0" w:tplc="09566A5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134349"/>
    <w:multiLevelType w:val="hybridMultilevel"/>
    <w:tmpl w:val="98F2E0B8"/>
    <w:lvl w:ilvl="0" w:tplc="847CF1FC">
      <w:start w:val="1"/>
      <w:numFmt w:val="upperLetter"/>
      <w:lvlText w:val="%1."/>
      <w:lvlJc w:val="left"/>
      <w:pPr>
        <w:tabs>
          <w:tab w:val="num" w:pos="1080"/>
        </w:tabs>
        <w:ind w:left="1080" w:hanging="360"/>
      </w:pPr>
      <w:rPr>
        <w:rFonts w:hint="default"/>
      </w:rPr>
    </w:lvl>
    <w:lvl w:ilvl="1" w:tplc="751C1B1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6B902CF"/>
    <w:multiLevelType w:val="hybridMultilevel"/>
    <w:tmpl w:val="23D2B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127C8A2C">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C304A"/>
    <w:multiLevelType w:val="hybridMultilevel"/>
    <w:tmpl w:val="9EF2417A"/>
    <w:lvl w:ilvl="0" w:tplc="5FE8A806">
      <w:start w:val="1"/>
      <w:numFmt w:val="decimal"/>
      <w:lvlText w:val="%1."/>
      <w:lvlJc w:val="left"/>
      <w:pPr>
        <w:tabs>
          <w:tab w:val="num" w:pos="1800"/>
        </w:tabs>
        <w:ind w:left="1800" w:hanging="360"/>
      </w:pPr>
      <w:rPr>
        <w:rFonts w:hint="default"/>
      </w:rPr>
    </w:lvl>
    <w:lvl w:ilvl="1" w:tplc="778498E8">
      <w:start w:val="3"/>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9CA304F"/>
    <w:multiLevelType w:val="hybridMultilevel"/>
    <w:tmpl w:val="5A3E8910"/>
    <w:lvl w:ilvl="0" w:tplc="3A30A79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FF1917"/>
    <w:multiLevelType w:val="hybridMultilevel"/>
    <w:tmpl w:val="A8C41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D768C"/>
    <w:multiLevelType w:val="hybridMultilevel"/>
    <w:tmpl w:val="FDF06882"/>
    <w:lvl w:ilvl="0" w:tplc="20DE6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8569BC"/>
    <w:multiLevelType w:val="hybridMultilevel"/>
    <w:tmpl w:val="6F269EEA"/>
    <w:lvl w:ilvl="0" w:tplc="69987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C8065E"/>
    <w:multiLevelType w:val="hybridMultilevel"/>
    <w:tmpl w:val="DBB8ADE0"/>
    <w:lvl w:ilvl="0" w:tplc="EBE2FECA">
      <w:start w:val="13"/>
      <w:numFmt w:val="decimal"/>
      <w:lvlText w:val="%1."/>
      <w:lvlJc w:val="left"/>
      <w:pPr>
        <w:tabs>
          <w:tab w:val="num" w:pos="1470"/>
        </w:tabs>
        <w:ind w:left="1470" w:hanging="570"/>
      </w:pPr>
      <w:rPr>
        <w:rFonts w:hint="default"/>
        <w:color w:val="0000FF"/>
        <w:sz w:val="26"/>
        <w:szCs w:val="26"/>
      </w:rPr>
    </w:lvl>
    <w:lvl w:ilvl="1" w:tplc="04090019">
      <w:start w:val="1"/>
      <w:numFmt w:val="lowerLetter"/>
      <w:pStyle w:val="Level2"/>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73513E"/>
    <w:multiLevelType w:val="hybridMultilevel"/>
    <w:tmpl w:val="E80CC0AE"/>
    <w:lvl w:ilvl="0" w:tplc="BC327A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927DC2"/>
    <w:multiLevelType w:val="hybridMultilevel"/>
    <w:tmpl w:val="2E1680EA"/>
    <w:lvl w:ilvl="0" w:tplc="0CDCB4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CF43885"/>
    <w:multiLevelType w:val="hybridMultilevel"/>
    <w:tmpl w:val="F7949A28"/>
    <w:lvl w:ilvl="0" w:tplc="6AA81D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FE421A"/>
    <w:multiLevelType w:val="multilevel"/>
    <w:tmpl w:val="00000000"/>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6B625183"/>
    <w:multiLevelType w:val="hybridMultilevel"/>
    <w:tmpl w:val="169CD730"/>
    <w:lvl w:ilvl="0" w:tplc="EEAA7222">
      <w:start w:val="1"/>
      <w:numFmt w:val="decimal"/>
      <w:lvlText w:val="%1."/>
      <w:lvlJc w:val="left"/>
      <w:pPr>
        <w:ind w:left="189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C00032B"/>
    <w:multiLevelType w:val="hybridMultilevel"/>
    <w:tmpl w:val="4F562F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7B9577B"/>
    <w:multiLevelType w:val="hybridMultilevel"/>
    <w:tmpl w:val="9BA203F2"/>
    <w:lvl w:ilvl="0" w:tplc="B7D60942">
      <w:start w:val="12"/>
      <w:numFmt w:val="decimal"/>
      <w:pStyle w:val="Level1"/>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C493DD8"/>
    <w:multiLevelType w:val="hybridMultilevel"/>
    <w:tmpl w:val="2F765174"/>
    <w:lvl w:ilvl="0" w:tplc="DCAC2E4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84976263">
    <w:abstractNumId w:val="30"/>
  </w:num>
  <w:num w:numId="2" w16cid:durableId="1509129398">
    <w:abstractNumId w:val="26"/>
  </w:num>
  <w:num w:numId="3" w16cid:durableId="942614948">
    <w:abstractNumId w:val="32"/>
  </w:num>
  <w:num w:numId="4" w16cid:durableId="1846750552">
    <w:abstractNumId w:val="14"/>
  </w:num>
  <w:num w:numId="5" w16cid:durableId="948050707">
    <w:abstractNumId w:val="31"/>
  </w:num>
  <w:num w:numId="6" w16cid:durableId="677580725">
    <w:abstractNumId w:val="24"/>
  </w:num>
  <w:num w:numId="7" w16cid:durableId="761728550">
    <w:abstractNumId w:val="7"/>
  </w:num>
  <w:num w:numId="8" w16cid:durableId="1841044442">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9" w16cid:durableId="511184365">
    <w:abstractNumId w:val="2"/>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1461268079">
    <w:abstractNumId w:val="2"/>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1114833519">
    <w:abstractNumId w:val="19"/>
  </w:num>
  <w:num w:numId="12" w16cid:durableId="1371998267">
    <w:abstractNumId w:val="13"/>
  </w:num>
  <w:num w:numId="13" w16cid:durableId="1138449623">
    <w:abstractNumId w:val="6"/>
  </w:num>
  <w:num w:numId="14" w16cid:durableId="1448115053">
    <w:abstractNumId w:val="11"/>
  </w:num>
  <w:num w:numId="15" w16cid:durableId="4795120">
    <w:abstractNumId w:val="20"/>
  </w:num>
  <w:num w:numId="16" w16cid:durableId="1430586203">
    <w:abstractNumId w:val="16"/>
  </w:num>
  <w:num w:numId="17" w16cid:durableId="1958021587">
    <w:abstractNumId w:val="28"/>
  </w:num>
  <w:num w:numId="18" w16cid:durableId="853151827">
    <w:abstractNumId w:val="10"/>
  </w:num>
  <w:num w:numId="19" w16cid:durableId="1490637078">
    <w:abstractNumId w:val="9"/>
  </w:num>
  <w:num w:numId="20" w16cid:durableId="594754103">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1" w16cid:durableId="800271440">
    <w:abstractNumId w:val="0"/>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53310882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652413493">
    <w:abstractNumId w:val="17"/>
  </w:num>
  <w:num w:numId="24" w16cid:durableId="1562210248">
    <w:abstractNumId w:val="12"/>
  </w:num>
  <w:num w:numId="25" w16cid:durableId="1681665969">
    <w:abstractNumId w:val="15"/>
  </w:num>
  <w:num w:numId="26" w16cid:durableId="1005747677">
    <w:abstractNumId w:val="18"/>
  </w:num>
  <w:num w:numId="27" w16cid:durableId="1842890648">
    <w:abstractNumId w:val="23"/>
  </w:num>
  <w:num w:numId="28" w16cid:durableId="465242444">
    <w:abstractNumId w:val="21"/>
  </w:num>
  <w:num w:numId="29" w16cid:durableId="952395686">
    <w:abstractNumId w:val="22"/>
  </w:num>
  <w:num w:numId="30" w16cid:durableId="1497960097">
    <w:abstractNumId w:val="8"/>
  </w:num>
  <w:num w:numId="31" w16cid:durableId="461508787">
    <w:abstractNumId w:val="29"/>
  </w:num>
  <w:num w:numId="32" w16cid:durableId="912392946">
    <w:abstractNumId w:val="4"/>
  </w:num>
  <w:num w:numId="33" w16cid:durableId="570626348">
    <w:abstractNumId w:val="5"/>
  </w:num>
  <w:num w:numId="34" w16cid:durableId="226772420">
    <w:abstractNumId w:val="27"/>
  </w:num>
  <w:num w:numId="35" w16cid:durableId="1547791989">
    <w:abstractNumId w:val="3"/>
  </w:num>
  <w:num w:numId="36" w16cid:durableId="6474396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F9"/>
    <w:rsid w:val="00004C7E"/>
    <w:rsid w:val="00007E33"/>
    <w:rsid w:val="00012CEA"/>
    <w:rsid w:val="00017351"/>
    <w:rsid w:val="00022F13"/>
    <w:rsid w:val="00023D21"/>
    <w:rsid w:val="000340DB"/>
    <w:rsid w:val="00035D30"/>
    <w:rsid w:val="000431BB"/>
    <w:rsid w:val="0005084C"/>
    <w:rsid w:val="000513E1"/>
    <w:rsid w:val="00052C43"/>
    <w:rsid w:val="0005792A"/>
    <w:rsid w:val="00067937"/>
    <w:rsid w:val="00073380"/>
    <w:rsid w:val="00096444"/>
    <w:rsid w:val="000A0BC0"/>
    <w:rsid w:val="000C2BAB"/>
    <w:rsid w:val="000E39BB"/>
    <w:rsid w:val="000E4653"/>
    <w:rsid w:val="000F11D3"/>
    <w:rsid w:val="00101F38"/>
    <w:rsid w:val="00106D22"/>
    <w:rsid w:val="0010786F"/>
    <w:rsid w:val="0011069B"/>
    <w:rsid w:val="00120351"/>
    <w:rsid w:val="001217CB"/>
    <w:rsid w:val="00124D92"/>
    <w:rsid w:val="00130797"/>
    <w:rsid w:val="00142D34"/>
    <w:rsid w:val="00156682"/>
    <w:rsid w:val="001745F7"/>
    <w:rsid w:val="001A075D"/>
    <w:rsid w:val="001B06D8"/>
    <w:rsid w:val="001B301D"/>
    <w:rsid w:val="001B6C03"/>
    <w:rsid w:val="001B6CAB"/>
    <w:rsid w:val="001C23C3"/>
    <w:rsid w:val="001C37AC"/>
    <w:rsid w:val="001D0F4A"/>
    <w:rsid w:val="001E60BB"/>
    <w:rsid w:val="001F3401"/>
    <w:rsid w:val="001F471D"/>
    <w:rsid w:val="00212E5B"/>
    <w:rsid w:val="00214B68"/>
    <w:rsid w:val="002174AF"/>
    <w:rsid w:val="0022531D"/>
    <w:rsid w:val="0022711C"/>
    <w:rsid w:val="002414D8"/>
    <w:rsid w:val="00242456"/>
    <w:rsid w:val="00247FCD"/>
    <w:rsid w:val="0025144C"/>
    <w:rsid w:val="0025474D"/>
    <w:rsid w:val="0026158D"/>
    <w:rsid w:val="00271A42"/>
    <w:rsid w:val="00277937"/>
    <w:rsid w:val="00296827"/>
    <w:rsid w:val="0029691D"/>
    <w:rsid w:val="002B4C51"/>
    <w:rsid w:val="002D3B87"/>
    <w:rsid w:val="002D73E7"/>
    <w:rsid w:val="002D7CD6"/>
    <w:rsid w:val="002E3AF3"/>
    <w:rsid w:val="002E4F3A"/>
    <w:rsid w:val="002F5A45"/>
    <w:rsid w:val="00314D17"/>
    <w:rsid w:val="0033239D"/>
    <w:rsid w:val="00334729"/>
    <w:rsid w:val="003577FD"/>
    <w:rsid w:val="003977C6"/>
    <w:rsid w:val="003A39BC"/>
    <w:rsid w:val="003B39BA"/>
    <w:rsid w:val="003C2DF0"/>
    <w:rsid w:val="003C410D"/>
    <w:rsid w:val="003E0A78"/>
    <w:rsid w:val="004004C4"/>
    <w:rsid w:val="00403D29"/>
    <w:rsid w:val="0040771F"/>
    <w:rsid w:val="004241F2"/>
    <w:rsid w:val="00425F3A"/>
    <w:rsid w:val="004313D8"/>
    <w:rsid w:val="00447CA8"/>
    <w:rsid w:val="00460B88"/>
    <w:rsid w:val="00464A82"/>
    <w:rsid w:val="004748AE"/>
    <w:rsid w:val="00483FF3"/>
    <w:rsid w:val="00490C18"/>
    <w:rsid w:val="004A0B26"/>
    <w:rsid w:val="004B14E9"/>
    <w:rsid w:val="004B2873"/>
    <w:rsid w:val="004B66E1"/>
    <w:rsid w:val="004C0E09"/>
    <w:rsid w:val="004C62A5"/>
    <w:rsid w:val="004C6912"/>
    <w:rsid w:val="004D293D"/>
    <w:rsid w:val="004D4B94"/>
    <w:rsid w:val="004D5EE0"/>
    <w:rsid w:val="004E2E53"/>
    <w:rsid w:val="004F0003"/>
    <w:rsid w:val="00506F1D"/>
    <w:rsid w:val="005430FB"/>
    <w:rsid w:val="005615C0"/>
    <w:rsid w:val="00562ECD"/>
    <w:rsid w:val="0056345D"/>
    <w:rsid w:val="00566933"/>
    <w:rsid w:val="00567F8E"/>
    <w:rsid w:val="00581444"/>
    <w:rsid w:val="005A4F53"/>
    <w:rsid w:val="005A573B"/>
    <w:rsid w:val="005B2898"/>
    <w:rsid w:val="005B320B"/>
    <w:rsid w:val="005B40A7"/>
    <w:rsid w:val="005B4E52"/>
    <w:rsid w:val="005C09B4"/>
    <w:rsid w:val="005D367C"/>
    <w:rsid w:val="005E2CEC"/>
    <w:rsid w:val="005E39D8"/>
    <w:rsid w:val="005E7C6C"/>
    <w:rsid w:val="005F4B27"/>
    <w:rsid w:val="006026C0"/>
    <w:rsid w:val="00603E17"/>
    <w:rsid w:val="0060732D"/>
    <w:rsid w:val="00611C51"/>
    <w:rsid w:val="0061215D"/>
    <w:rsid w:val="006157B5"/>
    <w:rsid w:val="00625F07"/>
    <w:rsid w:val="00626802"/>
    <w:rsid w:val="00626DE8"/>
    <w:rsid w:val="00627E9A"/>
    <w:rsid w:val="00641779"/>
    <w:rsid w:val="00655952"/>
    <w:rsid w:val="00655D21"/>
    <w:rsid w:val="006573CB"/>
    <w:rsid w:val="006575C8"/>
    <w:rsid w:val="00671A12"/>
    <w:rsid w:val="00675D1D"/>
    <w:rsid w:val="0067646F"/>
    <w:rsid w:val="00680300"/>
    <w:rsid w:val="00687D38"/>
    <w:rsid w:val="006A2925"/>
    <w:rsid w:val="006A3257"/>
    <w:rsid w:val="006A6CCD"/>
    <w:rsid w:val="006B171E"/>
    <w:rsid w:val="006C1E69"/>
    <w:rsid w:val="006C65F5"/>
    <w:rsid w:val="006D47D1"/>
    <w:rsid w:val="006D60F2"/>
    <w:rsid w:val="006F121F"/>
    <w:rsid w:val="007069A2"/>
    <w:rsid w:val="007314C4"/>
    <w:rsid w:val="00737B00"/>
    <w:rsid w:val="007456F5"/>
    <w:rsid w:val="00753862"/>
    <w:rsid w:val="00753C98"/>
    <w:rsid w:val="00773E25"/>
    <w:rsid w:val="00782E71"/>
    <w:rsid w:val="007A12C9"/>
    <w:rsid w:val="007A160B"/>
    <w:rsid w:val="007A22B2"/>
    <w:rsid w:val="007A3A23"/>
    <w:rsid w:val="007A76BC"/>
    <w:rsid w:val="007B047D"/>
    <w:rsid w:val="007B1AF8"/>
    <w:rsid w:val="007E793F"/>
    <w:rsid w:val="007F591A"/>
    <w:rsid w:val="00803826"/>
    <w:rsid w:val="00822966"/>
    <w:rsid w:val="00833417"/>
    <w:rsid w:val="00841A30"/>
    <w:rsid w:val="00842A82"/>
    <w:rsid w:val="00863B33"/>
    <w:rsid w:val="008724CD"/>
    <w:rsid w:val="00882772"/>
    <w:rsid w:val="00885C6E"/>
    <w:rsid w:val="008875C2"/>
    <w:rsid w:val="008946F3"/>
    <w:rsid w:val="00895BF8"/>
    <w:rsid w:val="008961A8"/>
    <w:rsid w:val="008A046B"/>
    <w:rsid w:val="008B0DF2"/>
    <w:rsid w:val="008C1B20"/>
    <w:rsid w:val="008C29EB"/>
    <w:rsid w:val="008C4262"/>
    <w:rsid w:val="008C6370"/>
    <w:rsid w:val="00912A45"/>
    <w:rsid w:val="00912CCF"/>
    <w:rsid w:val="0091351B"/>
    <w:rsid w:val="00920A6C"/>
    <w:rsid w:val="009250C2"/>
    <w:rsid w:val="009450D1"/>
    <w:rsid w:val="00970CD4"/>
    <w:rsid w:val="00975257"/>
    <w:rsid w:val="00976B61"/>
    <w:rsid w:val="009830B5"/>
    <w:rsid w:val="00984C0B"/>
    <w:rsid w:val="009A1967"/>
    <w:rsid w:val="009C25AB"/>
    <w:rsid w:val="009C26A3"/>
    <w:rsid w:val="009C2AB2"/>
    <w:rsid w:val="009C36CA"/>
    <w:rsid w:val="009D2C8B"/>
    <w:rsid w:val="009D454D"/>
    <w:rsid w:val="009D6641"/>
    <w:rsid w:val="009E132E"/>
    <w:rsid w:val="009E6604"/>
    <w:rsid w:val="009E783D"/>
    <w:rsid w:val="009F6608"/>
    <w:rsid w:val="00A10918"/>
    <w:rsid w:val="00A140D5"/>
    <w:rsid w:val="00A20022"/>
    <w:rsid w:val="00A279E5"/>
    <w:rsid w:val="00A3160C"/>
    <w:rsid w:val="00A5408F"/>
    <w:rsid w:val="00A5532A"/>
    <w:rsid w:val="00A555BE"/>
    <w:rsid w:val="00A62DC1"/>
    <w:rsid w:val="00A71CB8"/>
    <w:rsid w:val="00A825F0"/>
    <w:rsid w:val="00A940E2"/>
    <w:rsid w:val="00A94B8D"/>
    <w:rsid w:val="00AA1BE6"/>
    <w:rsid w:val="00AB4B40"/>
    <w:rsid w:val="00AB52E6"/>
    <w:rsid w:val="00AC41F9"/>
    <w:rsid w:val="00AC6A0C"/>
    <w:rsid w:val="00AC763A"/>
    <w:rsid w:val="00AD1DA5"/>
    <w:rsid w:val="00AD2186"/>
    <w:rsid w:val="00AD51AA"/>
    <w:rsid w:val="00AD6B98"/>
    <w:rsid w:val="00AD7D04"/>
    <w:rsid w:val="00AF0900"/>
    <w:rsid w:val="00AF0DF6"/>
    <w:rsid w:val="00AF3005"/>
    <w:rsid w:val="00AF59E6"/>
    <w:rsid w:val="00B00C2A"/>
    <w:rsid w:val="00B064BD"/>
    <w:rsid w:val="00B10254"/>
    <w:rsid w:val="00B11A39"/>
    <w:rsid w:val="00B13C77"/>
    <w:rsid w:val="00B13DC7"/>
    <w:rsid w:val="00B21174"/>
    <w:rsid w:val="00B23643"/>
    <w:rsid w:val="00B30E5E"/>
    <w:rsid w:val="00B32AC5"/>
    <w:rsid w:val="00B34524"/>
    <w:rsid w:val="00B34F3C"/>
    <w:rsid w:val="00B41707"/>
    <w:rsid w:val="00B4582D"/>
    <w:rsid w:val="00B5218E"/>
    <w:rsid w:val="00B90396"/>
    <w:rsid w:val="00B920E3"/>
    <w:rsid w:val="00BB1FCF"/>
    <w:rsid w:val="00BB2D26"/>
    <w:rsid w:val="00BC12B6"/>
    <w:rsid w:val="00BC1FAF"/>
    <w:rsid w:val="00BC46C3"/>
    <w:rsid w:val="00BE7F03"/>
    <w:rsid w:val="00BF5CAE"/>
    <w:rsid w:val="00C17BA5"/>
    <w:rsid w:val="00C2082C"/>
    <w:rsid w:val="00C30CFD"/>
    <w:rsid w:val="00C32B6D"/>
    <w:rsid w:val="00C61353"/>
    <w:rsid w:val="00C635C4"/>
    <w:rsid w:val="00C76CE1"/>
    <w:rsid w:val="00C77EC7"/>
    <w:rsid w:val="00C84852"/>
    <w:rsid w:val="00C91777"/>
    <w:rsid w:val="00CA22C6"/>
    <w:rsid w:val="00CA3AFA"/>
    <w:rsid w:val="00CB02EA"/>
    <w:rsid w:val="00CC12C7"/>
    <w:rsid w:val="00CC1399"/>
    <w:rsid w:val="00CC1EAF"/>
    <w:rsid w:val="00CC5339"/>
    <w:rsid w:val="00CD6390"/>
    <w:rsid w:val="00CD7F40"/>
    <w:rsid w:val="00D067E9"/>
    <w:rsid w:val="00D1793B"/>
    <w:rsid w:val="00D17D5B"/>
    <w:rsid w:val="00D21260"/>
    <w:rsid w:val="00D4119B"/>
    <w:rsid w:val="00D41FD9"/>
    <w:rsid w:val="00D4289B"/>
    <w:rsid w:val="00D57155"/>
    <w:rsid w:val="00D573D7"/>
    <w:rsid w:val="00D7465F"/>
    <w:rsid w:val="00D818AC"/>
    <w:rsid w:val="00D8378D"/>
    <w:rsid w:val="00D9024B"/>
    <w:rsid w:val="00DA6D19"/>
    <w:rsid w:val="00DA7F04"/>
    <w:rsid w:val="00DB2FC5"/>
    <w:rsid w:val="00DC434C"/>
    <w:rsid w:val="00DD0806"/>
    <w:rsid w:val="00DD570F"/>
    <w:rsid w:val="00DE0A80"/>
    <w:rsid w:val="00DE1087"/>
    <w:rsid w:val="00DE3BB5"/>
    <w:rsid w:val="00DF2AAC"/>
    <w:rsid w:val="00DF3B36"/>
    <w:rsid w:val="00E066D7"/>
    <w:rsid w:val="00E16FE9"/>
    <w:rsid w:val="00E20945"/>
    <w:rsid w:val="00E266B8"/>
    <w:rsid w:val="00E271DC"/>
    <w:rsid w:val="00E32927"/>
    <w:rsid w:val="00E34020"/>
    <w:rsid w:val="00E56710"/>
    <w:rsid w:val="00E83D35"/>
    <w:rsid w:val="00E850C2"/>
    <w:rsid w:val="00EA163F"/>
    <w:rsid w:val="00EA3C8C"/>
    <w:rsid w:val="00EC60EF"/>
    <w:rsid w:val="00ED7A50"/>
    <w:rsid w:val="00EE1629"/>
    <w:rsid w:val="00EE2009"/>
    <w:rsid w:val="00EE782C"/>
    <w:rsid w:val="00EF486B"/>
    <w:rsid w:val="00EF7191"/>
    <w:rsid w:val="00F01E7D"/>
    <w:rsid w:val="00F12105"/>
    <w:rsid w:val="00F137DF"/>
    <w:rsid w:val="00F2214B"/>
    <w:rsid w:val="00F23CCC"/>
    <w:rsid w:val="00F26BEB"/>
    <w:rsid w:val="00F3171E"/>
    <w:rsid w:val="00F35EAE"/>
    <w:rsid w:val="00F36F26"/>
    <w:rsid w:val="00F43838"/>
    <w:rsid w:val="00F50B2B"/>
    <w:rsid w:val="00F83E8A"/>
    <w:rsid w:val="00F9254A"/>
    <w:rsid w:val="00F9318D"/>
    <w:rsid w:val="00FA5673"/>
    <w:rsid w:val="00FB2CE9"/>
    <w:rsid w:val="00FB2E34"/>
    <w:rsid w:val="00FC44CF"/>
    <w:rsid w:val="00FC7204"/>
    <w:rsid w:val="00FD5B2F"/>
    <w:rsid w:val="00F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729E7"/>
  <w15:docId w15:val="{64818B3C-911C-4944-891F-E5DFC8DC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73CB"/>
    <w:pPr>
      <w:tabs>
        <w:tab w:val="center" w:pos="4320"/>
        <w:tab w:val="right" w:pos="8640"/>
      </w:tabs>
    </w:pPr>
  </w:style>
  <w:style w:type="paragraph" w:styleId="Footer">
    <w:name w:val="footer"/>
    <w:basedOn w:val="Normal"/>
    <w:link w:val="FooterChar"/>
    <w:uiPriority w:val="99"/>
    <w:rsid w:val="006573CB"/>
    <w:pPr>
      <w:tabs>
        <w:tab w:val="center" w:pos="4320"/>
        <w:tab w:val="right" w:pos="8640"/>
      </w:tabs>
    </w:pPr>
  </w:style>
  <w:style w:type="paragraph" w:styleId="BalloonText">
    <w:name w:val="Balloon Text"/>
    <w:basedOn w:val="Normal"/>
    <w:semiHidden/>
    <w:rsid w:val="00073380"/>
    <w:rPr>
      <w:rFonts w:ascii="Tahoma" w:hAnsi="Tahoma" w:cs="Tahoma"/>
      <w:sz w:val="16"/>
      <w:szCs w:val="16"/>
    </w:rPr>
  </w:style>
  <w:style w:type="character" w:styleId="PageNumber">
    <w:name w:val="page number"/>
    <w:basedOn w:val="DefaultParagraphFont"/>
    <w:rsid w:val="00E20945"/>
  </w:style>
  <w:style w:type="paragraph" w:customStyle="1" w:styleId="Level1">
    <w:name w:val="Level 1"/>
    <w:basedOn w:val="Normal"/>
    <w:rsid w:val="001C23C3"/>
    <w:pPr>
      <w:widowControl w:val="0"/>
      <w:numPr>
        <w:numId w:val="5"/>
      </w:numPr>
      <w:autoSpaceDE w:val="0"/>
      <w:autoSpaceDN w:val="0"/>
      <w:adjustRightInd w:val="0"/>
      <w:ind w:left="720" w:hanging="720"/>
      <w:outlineLvl w:val="0"/>
    </w:pPr>
  </w:style>
  <w:style w:type="paragraph" w:customStyle="1" w:styleId="Level2">
    <w:name w:val="Level 2"/>
    <w:basedOn w:val="Normal"/>
    <w:rsid w:val="001C23C3"/>
    <w:pPr>
      <w:widowControl w:val="0"/>
      <w:numPr>
        <w:ilvl w:val="1"/>
        <w:numId w:val="6"/>
      </w:numPr>
      <w:autoSpaceDE w:val="0"/>
      <w:autoSpaceDN w:val="0"/>
      <w:adjustRightInd w:val="0"/>
      <w:ind w:left="1440" w:hanging="720"/>
      <w:outlineLvl w:val="1"/>
    </w:pPr>
  </w:style>
  <w:style w:type="paragraph" w:styleId="ListParagraph">
    <w:name w:val="List Paragraph"/>
    <w:basedOn w:val="Normal"/>
    <w:uiPriority w:val="34"/>
    <w:qFormat/>
    <w:rsid w:val="004A0B26"/>
    <w:pPr>
      <w:ind w:left="720"/>
    </w:pPr>
  </w:style>
  <w:style w:type="paragraph" w:styleId="NoSpacing">
    <w:name w:val="No Spacing"/>
    <w:uiPriority w:val="1"/>
    <w:qFormat/>
    <w:rsid w:val="00BC46C3"/>
    <w:rPr>
      <w:rFonts w:ascii="Calibri" w:eastAsia="Calibri" w:hAnsi="Calibri"/>
      <w:sz w:val="22"/>
      <w:szCs w:val="22"/>
    </w:rPr>
  </w:style>
  <w:style w:type="character" w:customStyle="1" w:styleId="FooterChar">
    <w:name w:val="Footer Char"/>
    <w:basedOn w:val="DefaultParagraphFont"/>
    <w:link w:val="Footer"/>
    <w:uiPriority w:val="99"/>
    <w:rsid w:val="00920A6C"/>
    <w:rPr>
      <w:sz w:val="24"/>
      <w:szCs w:val="24"/>
    </w:rPr>
  </w:style>
  <w:style w:type="paragraph" w:customStyle="1" w:styleId="Level3">
    <w:name w:val="Level 3"/>
    <w:basedOn w:val="Normal"/>
    <w:rsid w:val="004C6912"/>
    <w:pPr>
      <w:widowControl w:val="0"/>
      <w:tabs>
        <w:tab w:val="num" w:pos="2160"/>
      </w:tabs>
      <w:autoSpaceDE w:val="0"/>
      <w:autoSpaceDN w:val="0"/>
      <w:adjustRightInd w:val="0"/>
      <w:ind w:left="2160" w:hanging="720"/>
      <w:outlineLvl w:val="2"/>
    </w:pPr>
  </w:style>
  <w:style w:type="character" w:styleId="Hyperlink">
    <w:name w:val="Hyperlink"/>
    <w:basedOn w:val="DefaultParagraphFont"/>
    <w:uiPriority w:val="99"/>
    <w:semiHidden/>
    <w:unhideWhenUsed/>
    <w:rsid w:val="008C6370"/>
    <w:rPr>
      <w:color w:val="0000FF"/>
      <w:u w:val="single"/>
    </w:rPr>
  </w:style>
  <w:style w:type="character" w:styleId="CommentReference">
    <w:name w:val="annotation reference"/>
    <w:basedOn w:val="DefaultParagraphFont"/>
    <w:semiHidden/>
    <w:unhideWhenUsed/>
    <w:rsid w:val="009A1967"/>
    <w:rPr>
      <w:sz w:val="16"/>
      <w:szCs w:val="16"/>
    </w:rPr>
  </w:style>
  <w:style w:type="paragraph" w:styleId="CommentText">
    <w:name w:val="annotation text"/>
    <w:basedOn w:val="Normal"/>
    <w:link w:val="CommentTextChar"/>
    <w:unhideWhenUsed/>
    <w:rsid w:val="009A1967"/>
    <w:rPr>
      <w:sz w:val="20"/>
      <w:szCs w:val="20"/>
    </w:rPr>
  </w:style>
  <w:style w:type="character" w:customStyle="1" w:styleId="CommentTextChar">
    <w:name w:val="Comment Text Char"/>
    <w:basedOn w:val="DefaultParagraphFont"/>
    <w:link w:val="CommentText"/>
    <w:rsid w:val="009A1967"/>
  </w:style>
  <w:style w:type="paragraph" w:styleId="CommentSubject">
    <w:name w:val="annotation subject"/>
    <w:basedOn w:val="CommentText"/>
    <w:next w:val="CommentText"/>
    <w:link w:val="CommentSubjectChar"/>
    <w:semiHidden/>
    <w:unhideWhenUsed/>
    <w:rsid w:val="009A1967"/>
    <w:rPr>
      <w:b/>
      <w:bCs/>
    </w:rPr>
  </w:style>
  <w:style w:type="character" w:customStyle="1" w:styleId="CommentSubjectChar">
    <w:name w:val="Comment Subject Char"/>
    <w:basedOn w:val="CommentTextChar"/>
    <w:link w:val="CommentSubject"/>
    <w:semiHidden/>
    <w:rsid w:val="009A1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51440">
      <w:bodyDiv w:val="1"/>
      <w:marLeft w:val="0"/>
      <w:marRight w:val="0"/>
      <w:marTop w:val="0"/>
      <w:marBottom w:val="0"/>
      <w:divBdr>
        <w:top w:val="none" w:sz="0" w:space="0" w:color="auto"/>
        <w:left w:val="none" w:sz="0" w:space="0" w:color="auto"/>
        <w:bottom w:val="none" w:sz="0" w:space="0" w:color="auto"/>
        <w:right w:val="none" w:sz="0" w:space="0" w:color="auto"/>
      </w:divBdr>
    </w:div>
    <w:div w:id="96797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A8E7-D833-46B2-82F5-BA4D55B3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2376</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of NE, Power Review Board</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Birkett, Sara</dc:creator>
  <cp:lastModifiedBy>Texel, Tim</cp:lastModifiedBy>
  <cp:revision>9</cp:revision>
  <cp:lastPrinted>2025-04-18T16:29:00Z</cp:lastPrinted>
  <dcterms:created xsi:type="dcterms:W3CDTF">2026-05-05T18:50:00Z</dcterms:created>
  <dcterms:modified xsi:type="dcterms:W3CDTF">2026-05-27T16:34:00Z</dcterms:modified>
</cp:coreProperties>
</file>